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036" w:rsidRDefault="008C4036" w:rsidP="008C4036">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8B4A72E" wp14:editId="757E7EA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4036" w:rsidRDefault="008C4036" w:rsidP="008C403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C4036" w:rsidRDefault="008C4036" w:rsidP="008C403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C4036" w:rsidRDefault="008C4036" w:rsidP="008C403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C4036" w:rsidRDefault="008C4036" w:rsidP="008C403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C4036" w:rsidRDefault="008C4036" w:rsidP="008C403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C4036" w:rsidRDefault="008C4036" w:rsidP="008C403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10CEB36E" wp14:editId="64C62ABF">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8C4036" w:rsidRDefault="008C4036" w:rsidP="008C4036">
      <w:pPr>
        <w:jc w:val="both"/>
        <w:rPr>
          <w:rFonts w:ascii="Times New Roman" w:hAnsi="Times New Roman" w:cs="Times New Roman"/>
          <w:i/>
          <w:color w:val="000000"/>
          <w:sz w:val="28"/>
          <w:szCs w:val="28"/>
          <w:u w:val="single"/>
          <w:shd w:val="clear" w:color="auto" w:fill="FFFFFF"/>
          <w:lang w:val="uk-UA"/>
        </w:rPr>
      </w:pPr>
      <w:r w:rsidRPr="008C4036">
        <w:rPr>
          <w:rFonts w:ascii="Times New Roman" w:hAnsi="Times New Roman" w:cs="Times New Roman"/>
          <w:i/>
          <w:color w:val="000000"/>
          <w:sz w:val="28"/>
          <w:szCs w:val="28"/>
          <w:u w:val="single"/>
          <w:shd w:val="clear" w:color="auto" w:fill="FFFFFF"/>
          <w:lang w:val="uk-UA"/>
        </w:rPr>
        <w:t>Скільки декларацій акцизного податку та до якого контролюючого органу повинні подавати СГ роздрібної торгівлі, якщо пункти роздрібного продажу підакцизних товарів знаходяться в різних районах міста з районним поділом та обслуговуються різними ДПІ, але входять до складу територіальної громади (далі – ТГ) міста і податок сплачується на єдиний рахунок такої ТГ?</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Підпунктом 212.1.11 п. 212.1 ст. 212 Податкового кодексу України від 02 грудня 2010 року № 2755-VI (далі – ПКУ) передбачено, що платниками акцизного податку з реалізації суб’єктами господарювання роздрібної торгівлі підакцизних товарів є особа – суб’єкт господарювання роздрібної торгівлі, яка здійснює реалізацію підакцизних товарів (крім тютюнових виробів, тютюну та промислових замінників тютюну, рідин, що використовуються в електронних сигаретах).</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 xml:space="preserve">При цьому, відповідно до п. 40 </w:t>
      </w:r>
      <w:proofErr w:type="spellStart"/>
      <w:r w:rsidRPr="008C4036">
        <w:rPr>
          <w:rFonts w:ascii="Times New Roman" w:hAnsi="Times New Roman" w:cs="Times New Roman"/>
          <w:color w:val="000000"/>
          <w:sz w:val="28"/>
          <w:szCs w:val="28"/>
          <w:shd w:val="clear" w:color="auto" w:fill="FFFFFF"/>
          <w:lang w:val="uk-UA"/>
        </w:rPr>
        <w:t>підрозд</w:t>
      </w:r>
      <w:proofErr w:type="spellEnd"/>
      <w:r w:rsidRPr="008C4036">
        <w:rPr>
          <w:rFonts w:ascii="Times New Roman" w:hAnsi="Times New Roman" w:cs="Times New Roman"/>
          <w:color w:val="000000"/>
          <w:sz w:val="28"/>
          <w:szCs w:val="28"/>
          <w:shd w:val="clear" w:color="auto" w:fill="FFFFFF"/>
          <w:lang w:val="uk-UA"/>
        </w:rPr>
        <w:t xml:space="preserve">. 5 </w:t>
      </w:r>
      <w:proofErr w:type="spellStart"/>
      <w:r w:rsidRPr="008C4036">
        <w:rPr>
          <w:rFonts w:ascii="Times New Roman" w:hAnsi="Times New Roman" w:cs="Times New Roman"/>
          <w:color w:val="000000"/>
          <w:sz w:val="28"/>
          <w:szCs w:val="28"/>
          <w:shd w:val="clear" w:color="auto" w:fill="FFFFFF"/>
          <w:lang w:val="uk-UA"/>
        </w:rPr>
        <w:t>розд</w:t>
      </w:r>
      <w:proofErr w:type="spellEnd"/>
      <w:r w:rsidRPr="008C4036">
        <w:rPr>
          <w:rFonts w:ascii="Times New Roman" w:hAnsi="Times New Roman" w:cs="Times New Roman"/>
          <w:color w:val="000000"/>
          <w:sz w:val="28"/>
          <w:szCs w:val="28"/>
          <w:shd w:val="clear" w:color="auto" w:fill="FFFFFF"/>
          <w:lang w:val="uk-UA"/>
        </w:rPr>
        <w:t>. XX «Перехідні положення» ПКУ тимчасово, до 01 січня 2023 року, сплата акцизного податку з реалізації суб’єктами господарювання роздрібної торгівлі підакцизних товарів (тютюнових виробів, тютюну та промислових замінників тютюну), вироблених до 01 квітня 2022 року, в тому числі іноземними виробниками, та не реалізованих кінцевим споживачам до 01 квітня 2022 року, здійснюється у порядку та на умовах, що діяли до 01 квітня 2022 року.</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Відповідно до п. 49.1 ст. 49 ПКУ податкова декларація, зокрема, декларація акцизного податку (далі – Декларація), подається за звітний період в установлені ПКУ строки контролюючому органу, в якому перебуває на обліку платник податків.</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 xml:space="preserve">Згідно з </w:t>
      </w:r>
      <w:proofErr w:type="spellStart"/>
      <w:r w:rsidRPr="008C4036">
        <w:rPr>
          <w:rFonts w:ascii="Times New Roman" w:hAnsi="Times New Roman" w:cs="Times New Roman"/>
          <w:color w:val="000000"/>
          <w:sz w:val="28"/>
          <w:szCs w:val="28"/>
          <w:shd w:val="clear" w:color="auto" w:fill="FFFFFF"/>
          <w:lang w:val="uk-UA"/>
        </w:rPr>
        <w:t>п.п</w:t>
      </w:r>
      <w:proofErr w:type="spellEnd"/>
      <w:r w:rsidRPr="008C4036">
        <w:rPr>
          <w:rFonts w:ascii="Times New Roman" w:hAnsi="Times New Roman" w:cs="Times New Roman"/>
          <w:color w:val="000000"/>
          <w:sz w:val="28"/>
          <w:szCs w:val="28"/>
          <w:shd w:val="clear" w:color="auto" w:fill="FFFFFF"/>
          <w:lang w:val="uk-UA"/>
        </w:rPr>
        <w:t>. 212.3.1 прим. 1 п. 212.3 ст. 212 ПКУ особи – суб’єкти господарювання роздрібної торгівлі, які здійснюють реалізацію підакцизних товарів, підлягають обов’язковій реєстрації як платники податку контролюючими органами за місцезнаходженням пункту продажу товарів не пізніше граничного терміну подання декларації акцизного податку за місяць, в якому здійснюється господарська діяльність.</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 xml:space="preserve">Відповідно до абзацу першого п. 2 </w:t>
      </w:r>
      <w:proofErr w:type="spellStart"/>
      <w:r w:rsidRPr="008C4036">
        <w:rPr>
          <w:rFonts w:ascii="Times New Roman" w:hAnsi="Times New Roman" w:cs="Times New Roman"/>
          <w:color w:val="000000"/>
          <w:sz w:val="28"/>
          <w:szCs w:val="28"/>
          <w:shd w:val="clear" w:color="auto" w:fill="FFFFFF"/>
          <w:lang w:val="uk-UA"/>
        </w:rPr>
        <w:t>розд</w:t>
      </w:r>
      <w:proofErr w:type="spellEnd"/>
      <w:r w:rsidRPr="008C4036">
        <w:rPr>
          <w:rFonts w:ascii="Times New Roman" w:hAnsi="Times New Roman" w:cs="Times New Roman"/>
          <w:color w:val="000000"/>
          <w:sz w:val="28"/>
          <w:szCs w:val="28"/>
          <w:shd w:val="clear" w:color="auto" w:fill="FFFFFF"/>
          <w:lang w:val="uk-UA"/>
        </w:rPr>
        <w:t>. І Порядку заповнення та подання декларації акцизного податку, затвердженого наказом Міністерства фінансів України від 23.01.2015 № 14 зі змінами та доповненнями (далі – Порядок № 14), особи, визначені ст. 212 ПКУ як платники акцизного податку складають та подають Декларацію.</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 xml:space="preserve">Відповідно до пункту 2 розділу ІІІ Порядку № 14 Декларація за звітний (податковий) період, що дорівнює календарному місяцю, подається платником щомісяця протягом 20 календарних днів, що настають за останнім календарним днем звітного (податкового) місяця, до контролюючого органу за місцем обліку </w:t>
      </w:r>
      <w:r w:rsidRPr="008C4036">
        <w:rPr>
          <w:rFonts w:ascii="Times New Roman" w:hAnsi="Times New Roman" w:cs="Times New Roman"/>
          <w:color w:val="000000"/>
          <w:sz w:val="28"/>
          <w:szCs w:val="28"/>
          <w:shd w:val="clear" w:color="auto" w:fill="FFFFFF"/>
          <w:lang w:val="uk-UA"/>
        </w:rPr>
        <w:lastRenderedPageBreak/>
        <w:t>такого платника. Суб’єкт господарювання роздрібної торгівлі, який здійснює реалізацію підакцизних товарів, має перебувати на обліку та подавати Декларацію до контролюючих органів за місцезнаходженням пунктів продажу товарів.</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 xml:space="preserve">Підпунктом 41.1.1 п. 41.1 ПКУ визначено, що контролюючими органами є податкові органи (центральний орган виконавчої влади, що реалізує державну податкову політику, його територіальні органи) – щодо дотримання законодавства з питань оподаткування (крім випадків, визначених </w:t>
      </w:r>
      <w:proofErr w:type="spellStart"/>
      <w:r w:rsidRPr="008C4036">
        <w:rPr>
          <w:rFonts w:ascii="Times New Roman" w:hAnsi="Times New Roman" w:cs="Times New Roman"/>
          <w:color w:val="000000"/>
          <w:sz w:val="28"/>
          <w:szCs w:val="28"/>
          <w:shd w:val="clear" w:color="auto" w:fill="FFFFFF"/>
          <w:lang w:val="uk-UA"/>
        </w:rPr>
        <w:t>п.п</w:t>
      </w:r>
      <w:proofErr w:type="spellEnd"/>
      <w:r w:rsidRPr="008C4036">
        <w:rPr>
          <w:rFonts w:ascii="Times New Roman" w:hAnsi="Times New Roman" w:cs="Times New Roman"/>
          <w:color w:val="000000"/>
          <w:sz w:val="28"/>
          <w:szCs w:val="28"/>
          <w:shd w:val="clear" w:color="auto" w:fill="FFFFFF"/>
          <w:lang w:val="uk-UA"/>
        </w:rPr>
        <w:t>. 41.1.2 п. 41.1 ст. 41 ПКУ), законодавства з питань сплати єдиного внеску, а також щодо дотримання іншого законодавства, контроль за виконанням якого покладено на центральний орган виконавчої влади, що реалізує державну податкову політику, чи його територіальні органи.</w:t>
      </w:r>
    </w:p>
    <w:p w:rsidR="008C4036" w:rsidRPr="008C4036" w:rsidRDefault="008C4036" w:rsidP="008C4036">
      <w:pPr>
        <w:spacing w:after="0" w:line="240" w:lineRule="auto"/>
        <w:ind w:firstLine="567"/>
        <w:jc w:val="both"/>
        <w:rPr>
          <w:rFonts w:ascii="Times New Roman" w:hAnsi="Times New Roman" w:cs="Times New Roman"/>
          <w:color w:val="000000"/>
          <w:sz w:val="28"/>
          <w:szCs w:val="28"/>
          <w:shd w:val="clear" w:color="auto" w:fill="FFFFFF"/>
          <w:lang w:val="uk-UA"/>
        </w:rPr>
      </w:pPr>
      <w:r w:rsidRPr="008C4036">
        <w:rPr>
          <w:rFonts w:ascii="Times New Roman" w:hAnsi="Times New Roman" w:cs="Times New Roman"/>
          <w:color w:val="000000"/>
          <w:sz w:val="28"/>
          <w:szCs w:val="28"/>
          <w:shd w:val="clear" w:color="auto" w:fill="FFFFFF"/>
          <w:lang w:val="uk-UA"/>
        </w:rPr>
        <w:t>Відповідно до п. 7 Положення про Державну податкову службу України затвердженого постановою Кабінету Міністрів України від 6 березня 2019 року № 227 ДПС здійснює повноваження безпосередньо та через утворені в установленому порядку її територіальні органи. ДПС та її територіальні органи є контролюючими органами (податковими органами, органами стягнення).</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Відповідно до наказу Державної податкової служби України від 30.09.2020 № 529 «Про утворення територіальних органів Державної податкової служби» територіальними органами ДПС є Головні управління ДПС в областях, м. Києві та Міжрегіональні управління ДПС по роботі з великими платниками податків.</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Згідно з п. 48.3 ст. 48 ПКУ одним з обов’язкових реквізитів, які повинна містити податкова декларація, є найменування контролюючого органу, до якого подається звітність.</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 xml:space="preserve">Пунктом 7 </w:t>
      </w:r>
      <w:proofErr w:type="spellStart"/>
      <w:r w:rsidRPr="008C4036">
        <w:rPr>
          <w:rFonts w:ascii="Times New Roman" w:hAnsi="Times New Roman" w:cs="Times New Roman"/>
          <w:color w:val="000000"/>
          <w:sz w:val="28"/>
          <w:szCs w:val="28"/>
          <w:shd w:val="clear" w:color="auto" w:fill="FFFFFF"/>
          <w:lang w:val="uk-UA"/>
        </w:rPr>
        <w:t>розд</w:t>
      </w:r>
      <w:proofErr w:type="spellEnd"/>
      <w:r w:rsidRPr="008C4036">
        <w:rPr>
          <w:rFonts w:ascii="Times New Roman" w:hAnsi="Times New Roman" w:cs="Times New Roman"/>
          <w:color w:val="000000"/>
          <w:sz w:val="28"/>
          <w:szCs w:val="28"/>
          <w:shd w:val="clear" w:color="auto" w:fill="FFFFFF"/>
          <w:lang w:val="uk-UA"/>
        </w:rPr>
        <w:t xml:space="preserve">. ІV Порядку № 14 передбачено заповнення, зокрема, платниками акцизного податку, визначеними </w:t>
      </w:r>
      <w:proofErr w:type="spellStart"/>
      <w:r w:rsidRPr="008C4036">
        <w:rPr>
          <w:rFonts w:ascii="Times New Roman" w:hAnsi="Times New Roman" w:cs="Times New Roman"/>
          <w:color w:val="000000"/>
          <w:sz w:val="28"/>
          <w:szCs w:val="28"/>
          <w:shd w:val="clear" w:color="auto" w:fill="FFFFFF"/>
          <w:lang w:val="uk-UA"/>
        </w:rPr>
        <w:t>пп</w:t>
      </w:r>
      <w:proofErr w:type="spellEnd"/>
      <w:r w:rsidRPr="008C4036">
        <w:rPr>
          <w:rFonts w:ascii="Times New Roman" w:hAnsi="Times New Roman" w:cs="Times New Roman"/>
          <w:color w:val="000000"/>
          <w:sz w:val="28"/>
          <w:szCs w:val="28"/>
          <w:shd w:val="clear" w:color="auto" w:fill="FFFFFF"/>
          <w:lang w:val="uk-UA"/>
        </w:rPr>
        <w:t>. 212.1.11 п. 212.1 ст. 212 ПКУ Розділу Д «Податкові зобов’язання з реалізації суб’єктами господарювання роздрібної торгівлі підакцизних товарів, а також виробниками та/або імпортерами тютюнових виробів, тютюну та промислових замінників тютюну, рідин, що використовуються в електронних сигаретах» Декларації, в якому зазначаються податкові зобов’язання акцизного податку з роздрібної торгівлі підакцизними товарами, розраховані окремо за кожним кодом території згідно з третім або додатковим (за наявності) рівнем Кодифікатора адміністративно-територіальних одиниць та територій територіальних громад, затвердженого наказом Міністерства розвитку громад та територій України від 26.112020 № 290 (далі – Код території) відповідного місця здійснення роздрібної торгівлі підакцизними товарами.</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 xml:space="preserve">Згідно з п. 10 </w:t>
      </w:r>
      <w:proofErr w:type="spellStart"/>
      <w:r w:rsidRPr="008C4036">
        <w:rPr>
          <w:rFonts w:ascii="Times New Roman" w:hAnsi="Times New Roman" w:cs="Times New Roman"/>
          <w:color w:val="000000"/>
          <w:sz w:val="28"/>
          <w:szCs w:val="28"/>
          <w:shd w:val="clear" w:color="auto" w:fill="FFFFFF"/>
          <w:lang w:val="uk-UA"/>
        </w:rPr>
        <w:t>розд</w:t>
      </w:r>
      <w:proofErr w:type="spellEnd"/>
      <w:r w:rsidRPr="008C4036">
        <w:rPr>
          <w:rFonts w:ascii="Times New Roman" w:hAnsi="Times New Roman" w:cs="Times New Roman"/>
          <w:color w:val="000000"/>
          <w:sz w:val="28"/>
          <w:szCs w:val="28"/>
          <w:shd w:val="clear" w:color="auto" w:fill="FFFFFF"/>
          <w:lang w:val="uk-UA"/>
        </w:rPr>
        <w:t xml:space="preserve">. V Порядку № 14 додаток 6 «Розрахунок суми акцизного податку з реалізації суб’єктами господарювання роздрібної торгівлі підакцизних товарів» заповнюється під час здійснення роздрібної торгівлі пивом, алкогольними напоями, а до 01 січня 2023 року також тютюновими виробами, тютюном та промисловими замінниками тютюну, виробленими до 01 квітня 2022 року, в тому числі іноземними виробниками, та не реалізованими кінцевим споживачам до 01 квітня 2022 року, окремо для кожної адміністративно-територіальної одиниці, у межах якої знаходяться місця </w:t>
      </w:r>
      <w:r w:rsidRPr="008C4036">
        <w:rPr>
          <w:rFonts w:ascii="Times New Roman" w:hAnsi="Times New Roman" w:cs="Times New Roman"/>
          <w:color w:val="000000"/>
          <w:sz w:val="28"/>
          <w:szCs w:val="28"/>
          <w:shd w:val="clear" w:color="auto" w:fill="FFFFFF"/>
          <w:lang w:val="uk-UA"/>
        </w:rPr>
        <w:lastRenderedPageBreak/>
        <w:t>здійснення реалізації підакцизних товарів з обов’язковим зазначенням відповідного Коду території.</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Отже, суб’єкт господарювання роздрібної торгівлі підакцизними товарами, що має пункти роздрібного продажу підакцизних товарів в різних районах міста з районним поділом, що обслуговуються різними ДПІ, але входять до складу однієї ТГ міста та податок сплачується на єдиний рахунок такої ТГ, заповнює одну Декларацію та Додатки 6 до Декларації із зазначенням окремо за кожним кодом території згідно з третім або додатковим (за наявності) рівнем Коду території адміністративно-територіальної одиниці, у межах якої знаходяться місця здійснення реалізації підакцизних товарів, та подає таку Декларацію до контролюючого органу (Головні управління ДПС в областях, м. Києві та Міжрегіональні управління ДПС по роботі з великими платниками податків), що обслуговує територію такої ТГ.</w:t>
      </w:r>
    </w:p>
    <w:p w:rsidR="008C4036" w:rsidRPr="008C4036" w:rsidRDefault="008C4036" w:rsidP="008C4036">
      <w:pPr>
        <w:spacing w:after="0" w:line="240" w:lineRule="auto"/>
        <w:ind w:firstLine="567"/>
        <w:jc w:val="both"/>
        <w:rPr>
          <w:rFonts w:ascii="Times New Roman" w:hAnsi="Times New Roman" w:cs="Times New Roman"/>
          <w:color w:val="000000"/>
          <w:sz w:val="28"/>
          <w:szCs w:val="28"/>
          <w:lang w:val="uk-UA"/>
        </w:rPr>
      </w:pPr>
      <w:r w:rsidRPr="008C4036">
        <w:rPr>
          <w:rFonts w:ascii="Times New Roman" w:hAnsi="Times New Roman" w:cs="Times New Roman"/>
          <w:color w:val="000000"/>
          <w:sz w:val="28"/>
          <w:szCs w:val="28"/>
          <w:shd w:val="clear" w:color="auto" w:fill="FFFFFF"/>
          <w:lang w:val="uk-UA"/>
        </w:rPr>
        <w:t xml:space="preserve">Відповідно до </w:t>
      </w:r>
      <w:proofErr w:type="spellStart"/>
      <w:r w:rsidRPr="008C4036">
        <w:rPr>
          <w:rFonts w:ascii="Times New Roman" w:hAnsi="Times New Roman" w:cs="Times New Roman"/>
          <w:color w:val="000000"/>
          <w:sz w:val="28"/>
          <w:szCs w:val="28"/>
          <w:shd w:val="clear" w:color="auto" w:fill="FFFFFF"/>
          <w:lang w:val="uk-UA"/>
        </w:rPr>
        <w:t>п.п</w:t>
      </w:r>
      <w:proofErr w:type="spellEnd"/>
      <w:r w:rsidRPr="008C4036">
        <w:rPr>
          <w:rFonts w:ascii="Times New Roman" w:hAnsi="Times New Roman" w:cs="Times New Roman"/>
          <w:color w:val="000000"/>
          <w:sz w:val="28"/>
          <w:szCs w:val="28"/>
          <w:shd w:val="clear" w:color="auto" w:fill="FFFFFF"/>
          <w:lang w:val="uk-UA"/>
        </w:rPr>
        <w:t>. 222.2.3 п. 222.3 ст. 222 ПКУ суб’єкт господарювання роздрібної торгівлі, який здійснює реалізацію підакцизних товарів, сплачує податок за місцем здійснення реалізації таких товарів на бюджетний рахунок територіальної громади, відкритий в Державній казначейській службі України для сплати акцизного податку з реалізації суб’єктами господарювання роздрібної торгівлі підакцизних товарів.</w:t>
      </w:r>
    </w:p>
    <w:p w:rsidR="008C4036" w:rsidRPr="008C4036" w:rsidRDefault="008C4036" w:rsidP="008C4036">
      <w:pPr>
        <w:spacing w:after="0" w:line="240" w:lineRule="auto"/>
        <w:ind w:firstLine="567"/>
        <w:jc w:val="both"/>
        <w:rPr>
          <w:rFonts w:ascii="Times New Roman" w:hAnsi="Times New Roman" w:cs="Times New Roman"/>
          <w:color w:val="000000"/>
          <w:sz w:val="28"/>
          <w:szCs w:val="28"/>
          <w:shd w:val="clear" w:color="auto" w:fill="FFFFFF"/>
          <w:lang w:val="uk-UA"/>
        </w:rPr>
      </w:pPr>
      <w:r w:rsidRPr="008C4036">
        <w:rPr>
          <w:rFonts w:ascii="Times New Roman" w:hAnsi="Times New Roman" w:cs="Times New Roman"/>
          <w:color w:val="000000"/>
          <w:sz w:val="28"/>
          <w:szCs w:val="28"/>
          <w:shd w:val="clear" w:color="auto" w:fill="FFFFFF"/>
          <w:lang w:val="uk-UA"/>
        </w:rPr>
        <w:t xml:space="preserve">При цьому тимчасово, на період до припинення або скасування воєнного стану на території України, введеного Указом Президента України «Про введення воєнного стану в Україні» від 24 лютого 2022 року № 64/2022, затвердженим Законом України від 24 лютого 2022 року № 2102-IX «Про затвердження Указу Президента України «Про введення воєнного стану в Україні», справляння податків і зборів здійснюється з урахуванням особливостей відповідно до п. 69 </w:t>
      </w:r>
      <w:proofErr w:type="spellStart"/>
      <w:r w:rsidRPr="008C4036">
        <w:rPr>
          <w:rFonts w:ascii="Times New Roman" w:hAnsi="Times New Roman" w:cs="Times New Roman"/>
          <w:color w:val="000000"/>
          <w:sz w:val="28"/>
          <w:szCs w:val="28"/>
          <w:shd w:val="clear" w:color="auto" w:fill="FFFFFF"/>
          <w:lang w:val="uk-UA"/>
        </w:rPr>
        <w:t>підрозд</w:t>
      </w:r>
      <w:proofErr w:type="spellEnd"/>
      <w:r w:rsidRPr="008C4036">
        <w:rPr>
          <w:rFonts w:ascii="Times New Roman" w:hAnsi="Times New Roman" w:cs="Times New Roman"/>
          <w:color w:val="000000"/>
          <w:sz w:val="28"/>
          <w:szCs w:val="28"/>
          <w:shd w:val="clear" w:color="auto" w:fill="FFFFFF"/>
          <w:lang w:val="uk-UA"/>
        </w:rPr>
        <w:t xml:space="preserve">. 10 </w:t>
      </w:r>
      <w:proofErr w:type="spellStart"/>
      <w:r w:rsidRPr="008C4036">
        <w:rPr>
          <w:rFonts w:ascii="Times New Roman" w:hAnsi="Times New Roman" w:cs="Times New Roman"/>
          <w:color w:val="000000"/>
          <w:sz w:val="28"/>
          <w:szCs w:val="28"/>
          <w:shd w:val="clear" w:color="auto" w:fill="FFFFFF"/>
          <w:lang w:val="uk-UA"/>
        </w:rPr>
        <w:t>розд</w:t>
      </w:r>
      <w:proofErr w:type="spellEnd"/>
      <w:r w:rsidRPr="008C4036">
        <w:rPr>
          <w:rFonts w:ascii="Times New Roman" w:hAnsi="Times New Roman" w:cs="Times New Roman"/>
          <w:color w:val="000000"/>
          <w:sz w:val="28"/>
          <w:szCs w:val="28"/>
          <w:shd w:val="clear" w:color="auto" w:fill="FFFFFF"/>
          <w:lang w:val="uk-UA"/>
        </w:rPr>
        <w:t>. ХХ «Перехідні положення» ПКУ.</w:t>
      </w:r>
    </w:p>
    <w:p w:rsidR="008C4036" w:rsidRPr="008C4036" w:rsidRDefault="008C4036" w:rsidP="008C4036">
      <w:pPr>
        <w:ind w:firstLine="567"/>
        <w:rPr>
          <w:rFonts w:ascii="Times New Roman" w:hAnsi="Times New Roman" w:cs="Times New Roman"/>
          <w:sz w:val="28"/>
          <w:szCs w:val="28"/>
        </w:rPr>
      </w:pPr>
      <w:r w:rsidRPr="008C4036">
        <w:rPr>
          <w:rFonts w:ascii="Times New Roman" w:hAnsi="Times New Roman" w:cs="Times New Roman"/>
          <w:sz w:val="28"/>
          <w:szCs w:val="28"/>
          <w:shd w:val="clear" w:color="auto" w:fill="FFFFFF"/>
        </w:rPr>
        <w:t xml:space="preserve">За </w:t>
      </w:r>
      <w:proofErr w:type="spellStart"/>
      <w:r w:rsidRPr="008C4036">
        <w:rPr>
          <w:rFonts w:ascii="Times New Roman" w:hAnsi="Times New Roman" w:cs="Times New Roman"/>
          <w:sz w:val="28"/>
          <w:szCs w:val="28"/>
          <w:shd w:val="clear" w:color="auto" w:fill="FFFFFF"/>
        </w:rPr>
        <w:t>інформацією</w:t>
      </w:r>
      <w:proofErr w:type="spellEnd"/>
      <w:r w:rsidRPr="008C4036">
        <w:rPr>
          <w:rFonts w:ascii="Times New Roman" w:hAnsi="Times New Roman" w:cs="Times New Roman"/>
          <w:sz w:val="28"/>
          <w:szCs w:val="28"/>
          <w:shd w:val="clear" w:color="auto" w:fill="FFFFFF"/>
        </w:rPr>
        <w:t xml:space="preserve"> </w:t>
      </w:r>
      <w:proofErr w:type="spellStart"/>
      <w:r w:rsidRPr="008C4036">
        <w:rPr>
          <w:rFonts w:ascii="Times New Roman" w:hAnsi="Times New Roman" w:cs="Times New Roman"/>
          <w:sz w:val="28"/>
          <w:szCs w:val="28"/>
          <w:shd w:val="clear" w:color="auto" w:fill="FFFFFF"/>
        </w:rPr>
        <w:t>загальнодоступного</w:t>
      </w:r>
      <w:proofErr w:type="spellEnd"/>
      <w:r w:rsidRPr="008C4036">
        <w:rPr>
          <w:rFonts w:ascii="Times New Roman" w:hAnsi="Times New Roman" w:cs="Times New Roman"/>
          <w:sz w:val="28"/>
          <w:szCs w:val="28"/>
          <w:shd w:val="clear" w:color="auto" w:fill="FFFFFF"/>
        </w:rPr>
        <w:t xml:space="preserve"> </w:t>
      </w:r>
      <w:proofErr w:type="spellStart"/>
      <w:r w:rsidRPr="008C4036">
        <w:rPr>
          <w:rFonts w:ascii="Times New Roman" w:hAnsi="Times New Roman" w:cs="Times New Roman"/>
          <w:sz w:val="28"/>
          <w:szCs w:val="28"/>
          <w:shd w:val="clear" w:color="auto" w:fill="FFFFFF"/>
        </w:rPr>
        <w:t>інформаційно-довідкового</w:t>
      </w:r>
      <w:proofErr w:type="spellEnd"/>
      <w:r w:rsidRPr="008C4036">
        <w:rPr>
          <w:rFonts w:ascii="Times New Roman" w:hAnsi="Times New Roman" w:cs="Times New Roman"/>
          <w:sz w:val="28"/>
          <w:szCs w:val="28"/>
          <w:shd w:val="clear" w:color="auto" w:fill="FFFFFF"/>
        </w:rPr>
        <w:t xml:space="preserve"> ресурсу.</w:t>
      </w:r>
    </w:p>
    <w:p w:rsidR="008C4036" w:rsidRPr="008C4036" w:rsidRDefault="008C4036" w:rsidP="008C4036">
      <w:pPr>
        <w:rPr>
          <w:rStyle w:val="z-label"/>
          <w:rFonts w:ascii="Times New Roman" w:hAnsi="Times New Roman" w:cs="Times New Roman"/>
          <w:sz w:val="28"/>
          <w:szCs w:val="28"/>
        </w:rPr>
      </w:pPr>
    </w:p>
    <w:p w:rsidR="008C4036" w:rsidRDefault="008C4036" w:rsidP="008C4036">
      <w:pPr>
        <w:tabs>
          <w:tab w:val="num" w:pos="567"/>
        </w:tabs>
        <w:spacing w:after="0" w:line="240" w:lineRule="auto"/>
        <w:jc w:val="both"/>
        <w:rPr>
          <w:rFonts w:ascii="Times New Roman" w:eastAsia="Times New Roman" w:hAnsi="Times New Roman" w:cs="Times New Roman"/>
          <w:sz w:val="28"/>
          <w:szCs w:val="28"/>
          <w:lang w:val="en-US" w:eastAsia="ru-RU"/>
        </w:rPr>
      </w:pPr>
    </w:p>
    <w:p w:rsidR="00E31A04" w:rsidRDefault="00E31A04" w:rsidP="008C4036">
      <w:pPr>
        <w:tabs>
          <w:tab w:val="num" w:pos="567"/>
        </w:tabs>
        <w:spacing w:after="0" w:line="240" w:lineRule="auto"/>
        <w:jc w:val="both"/>
        <w:rPr>
          <w:rFonts w:ascii="Times New Roman" w:eastAsia="Times New Roman" w:hAnsi="Times New Roman" w:cs="Times New Roman"/>
          <w:sz w:val="28"/>
          <w:szCs w:val="28"/>
          <w:lang w:val="en-US" w:eastAsia="ru-RU"/>
        </w:rPr>
      </w:pPr>
    </w:p>
    <w:p w:rsidR="00E31A04" w:rsidRDefault="00E31A04" w:rsidP="008C4036">
      <w:pPr>
        <w:tabs>
          <w:tab w:val="num" w:pos="567"/>
        </w:tabs>
        <w:spacing w:after="0" w:line="240" w:lineRule="auto"/>
        <w:jc w:val="both"/>
        <w:rPr>
          <w:rFonts w:ascii="Times New Roman" w:eastAsia="Times New Roman" w:hAnsi="Times New Roman" w:cs="Times New Roman"/>
          <w:sz w:val="28"/>
          <w:szCs w:val="28"/>
          <w:lang w:val="en-US" w:eastAsia="ru-RU"/>
        </w:rPr>
      </w:pPr>
    </w:p>
    <w:p w:rsidR="00E31A04" w:rsidRDefault="00E31A04" w:rsidP="008C4036">
      <w:pPr>
        <w:tabs>
          <w:tab w:val="num" w:pos="567"/>
        </w:tabs>
        <w:spacing w:after="0" w:line="240" w:lineRule="auto"/>
        <w:jc w:val="both"/>
        <w:rPr>
          <w:rFonts w:ascii="Times New Roman" w:eastAsia="Times New Roman" w:hAnsi="Times New Roman" w:cs="Times New Roman"/>
          <w:sz w:val="28"/>
          <w:szCs w:val="28"/>
          <w:lang w:val="en-US" w:eastAsia="ru-RU"/>
        </w:rPr>
      </w:pPr>
    </w:p>
    <w:p w:rsidR="00E31A04" w:rsidRDefault="00E31A04" w:rsidP="008C4036">
      <w:pPr>
        <w:tabs>
          <w:tab w:val="num" w:pos="567"/>
        </w:tabs>
        <w:spacing w:after="0" w:line="240" w:lineRule="auto"/>
        <w:jc w:val="both"/>
        <w:rPr>
          <w:rFonts w:ascii="Times New Roman" w:eastAsia="Times New Roman" w:hAnsi="Times New Roman" w:cs="Times New Roman"/>
          <w:sz w:val="28"/>
          <w:szCs w:val="28"/>
          <w:lang w:val="en-US" w:eastAsia="ru-RU"/>
        </w:rPr>
      </w:pPr>
    </w:p>
    <w:p w:rsidR="00E31A04" w:rsidRDefault="00E31A04" w:rsidP="008C4036">
      <w:pPr>
        <w:tabs>
          <w:tab w:val="num" w:pos="567"/>
        </w:tabs>
        <w:spacing w:after="0" w:line="240" w:lineRule="auto"/>
        <w:jc w:val="both"/>
        <w:rPr>
          <w:rFonts w:ascii="Times New Roman" w:eastAsia="Times New Roman" w:hAnsi="Times New Roman" w:cs="Times New Roman"/>
          <w:sz w:val="28"/>
          <w:szCs w:val="28"/>
          <w:lang w:val="en-US" w:eastAsia="ru-RU"/>
        </w:rPr>
      </w:pPr>
    </w:p>
    <w:p w:rsidR="00E31A04" w:rsidRPr="00E31A04" w:rsidRDefault="00E31A04" w:rsidP="008C4036">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8C4036" w:rsidRPr="007E7229" w:rsidRDefault="008C4036" w:rsidP="008C4036">
      <w:pPr>
        <w:spacing w:after="0" w:line="240" w:lineRule="auto"/>
        <w:rPr>
          <w:rFonts w:ascii="Times New Roman" w:hAnsi="Times New Roman" w:cs="Times New Roman"/>
          <w:sz w:val="28"/>
          <w:szCs w:val="28"/>
        </w:rPr>
      </w:pPr>
    </w:p>
    <w:p w:rsidR="008C4036" w:rsidRPr="00D92C16" w:rsidRDefault="008C4036" w:rsidP="008C4036">
      <w:pPr>
        <w:spacing w:after="0" w:line="240" w:lineRule="auto"/>
        <w:rPr>
          <w:rFonts w:ascii="Times New Roman" w:hAnsi="Times New Roman" w:cs="Times New Roman"/>
          <w:sz w:val="28"/>
          <w:szCs w:val="28"/>
        </w:rPr>
      </w:pPr>
    </w:p>
    <w:p w:rsidR="008C4036" w:rsidRPr="00EA716F" w:rsidRDefault="008C4036" w:rsidP="008C4036">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8C4036" w:rsidRPr="00EA716F" w:rsidRDefault="008C4036" w:rsidP="008C4036">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8C4036" w:rsidRPr="008C4036" w:rsidRDefault="008C4036" w:rsidP="008C4036">
      <w:pPr>
        <w:spacing w:after="0" w:line="240" w:lineRule="auto"/>
        <w:ind w:firstLine="567"/>
        <w:jc w:val="both"/>
        <w:rPr>
          <w:rFonts w:ascii="Times New Roman" w:hAnsi="Times New Roman" w:cs="Times New Roman"/>
          <w:sz w:val="24"/>
          <w:szCs w:val="24"/>
        </w:rPr>
      </w:pPr>
    </w:p>
    <w:sectPr w:rsidR="008C4036" w:rsidRPr="008C4036"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036"/>
    <w:rsid w:val="004A64BE"/>
    <w:rsid w:val="00751448"/>
    <w:rsid w:val="008C4036"/>
    <w:rsid w:val="00E31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C403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40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C4036"/>
    <w:rPr>
      <w:rFonts w:ascii="Tahoma" w:hAnsi="Tahoma" w:cs="Tahoma"/>
      <w:sz w:val="16"/>
      <w:szCs w:val="16"/>
    </w:rPr>
  </w:style>
  <w:style w:type="character" w:customStyle="1" w:styleId="z-label">
    <w:name w:val="z-label"/>
    <w:basedOn w:val="a0"/>
    <w:rsid w:val="008C4036"/>
  </w:style>
  <w:style w:type="character" w:styleId="a5">
    <w:name w:val="Hyperlink"/>
    <w:uiPriority w:val="99"/>
    <w:rsid w:val="008C4036"/>
    <w:rPr>
      <w:color w:val="0000FF"/>
      <w:u w:val="single"/>
    </w:rPr>
  </w:style>
  <w:style w:type="character" w:customStyle="1" w:styleId="10">
    <w:name w:val="Заголовок 1 Знак"/>
    <w:basedOn w:val="a0"/>
    <w:link w:val="1"/>
    <w:uiPriority w:val="9"/>
    <w:rsid w:val="008C4036"/>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C403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40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C4036"/>
    <w:rPr>
      <w:rFonts w:ascii="Tahoma" w:hAnsi="Tahoma" w:cs="Tahoma"/>
      <w:sz w:val="16"/>
      <w:szCs w:val="16"/>
    </w:rPr>
  </w:style>
  <w:style w:type="character" w:customStyle="1" w:styleId="z-label">
    <w:name w:val="z-label"/>
    <w:basedOn w:val="a0"/>
    <w:rsid w:val="008C4036"/>
  </w:style>
  <w:style w:type="character" w:styleId="a5">
    <w:name w:val="Hyperlink"/>
    <w:uiPriority w:val="99"/>
    <w:rsid w:val="008C4036"/>
    <w:rPr>
      <w:color w:val="0000FF"/>
      <w:u w:val="single"/>
    </w:rPr>
  </w:style>
  <w:style w:type="character" w:customStyle="1" w:styleId="10">
    <w:name w:val="Заголовок 1 Знак"/>
    <w:basedOn w:val="a0"/>
    <w:link w:val="1"/>
    <w:uiPriority w:val="9"/>
    <w:rsid w:val="008C4036"/>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4935</Words>
  <Characters>2814</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2022-12-01T08:54:00Z</dcterms:created>
  <dcterms:modified xsi:type="dcterms:W3CDTF">2022-12-08T05:26:00Z</dcterms:modified>
</cp:coreProperties>
</file>